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黑体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行政许可年度统计报表</w:t>
      </w:r>
    </w:p>
    <w:p>
      <w:pPr>
        <w:spacing w:line="400" w:lineRule="exact"/>
        <w:jc w:val="center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>20</w:t>
      </w:r>
      <w:r>
        <w:rPr>
          <w:rFonts w:hint="eastAsia" w:ascii="Times New Roman" w:hAnsi="Times New Roman" w:eastAsia="楷体_GB2312"/>
          <w:kern w:val="0"/>
          <w:szCs w:val="21"/>
        </w:rPr>
        <w:t>19</w:t>
      </w:r>
      <w:r>
        <w:rPr>
          <w:rFonts w:ascii="Times New Roman" w:hAnsi="Times New Roman" w:eastAsia="楷体_GB2312"/>
          <w:kern w:val="0"/>
          <w:szCs w:val="21"/>
        </w:rPr>
        <w:t>年</w:t>
      </w:r>
      <w:r>
        <w:rPr>
          <w:rFonts w:hint="eastAsia" w:ascii="Times New Roman" w:hAnsi="Times New Roman" w:eastAsia="楷体_GB2312"/>
          <w:kern w:val="0"/>
          <w:szCs w:val="21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368" w:hanging="4368" w:hangingChars="2080"/>
        <w:jc w:val="left"/>
        <w:rPr>
          <w:rFonts w:ascii="Times New Roman" w:hAnsi="Times New Roman" w:eastAsia="仿宋_GB2312"/>
          <w:kern w:val="0"/>
          <w:szCs w:val="21"/>
        </w:rPr>
      </w:pPr>
      <w:r>
        <w:rPr>
          <w:rFonts w:ascii="Times New Roman" w:hAnsi="Times New Roman" w:eastAsia="仿宋_GB2312"/>
          <w:kern w:val="0"/>
          <w:szCs w:val="21"/>
        </w:rPr>
        <w:t>填表单位：</w:t>
      </w:r>
      <w:r>
        <w:rPr>
          <w:rFonts w:hint="eastAsia" w:ascii="Times New Roman" w:hAnsi="Times New Roman" w:eastAsia="仿宋_GB2312"/>
          <w:kern w:val="0"/>
          <w:szCs w:val="21"/>
        </w:rPr>
        <w:t>台州市文化和广电旅游体育局</w:t>
      </w:r>
    </w:p>
    <w:tbl>
      <w:tblPr>
        <w:tblStyle w:val="3"/>
        <w:tblW w:w="14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59264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P2WytUAAAAIAQAADwAA&#10;AAAAAAABACAAAAAiAAAAZHJzL2Rvd25yZXYueG1sUEsBAhQAFAAAAAgAh07iQCc0CQTgAQAAmwMA&#10;AA4AAAAAAAAAAQAgAAAAJAEAAGRycy9lMm9Eb2MueG1sUEsFBgAAAAAGAAYAWQEAAHY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项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5544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应备案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实际备案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审查纠正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责令改正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撤销决定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责令改正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撤销决定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责令改正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对主管人员处分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对责任人员处分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申 请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 件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受 理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 件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不予受理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准予许可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不予许可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按期完成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告知延长期限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经批准超期限完成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事项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金额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总数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依申请举行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需赔偿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赔偿金额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需补偿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补偿金额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法定听证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需要听证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/>
                <w:kern w:val="0"/>
                <w:sz w:val="18"/>
                <w:szCs w:val="18"/>
              </w:rPr>
              <w:t>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椒江区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85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黄岩区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路桥区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临海市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温岭市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玉环市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天台县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110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仙居县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三门县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0</w:t>
            </w:r>
          </w:p>
        </w:tc>
      </w:tr>
    </w:tbl>
    <w:p>
      <w:pPr>
        <w:spacing w:line="600" w:lineRule="exact"/>
        <w:rPr>
          <w:rFonts w:hint="eastAsia"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51" w:leftChars="34" w:hanging="1680" w:hangingChars="800"/>
        <w:jc w:val="center"/>
        <w:rPr>
          <w:rFonts w:hint="eastAsia" w:ascii="Times New Roman" w:hAnsi="Times New Roman" w:eastAsia="仿宋_GB2312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Cs w:val="21"/>
        </w:rPr>
        <w:t>2019</w:t>
      </w:r>
      <w:r>
        <w:rPr>
          <w:rFonts w:ascii="Times New Roman" w:hAnsi="Times New Roman" w:eastAsia="仿宋_GB2312"/>
          <w:kern w:val="0"/>
          <w:szCs w:val="21"/>
        </w:rPr>
        <w:t>年</w:t>
      </w:r>
      <w:r>
        <w:rPr>
          <w:rFonts w:hint="eastAsia" w:ascii="Times New Roman" w:hAnsi="Times New Roman" w:eastAsia="仿宋_GB2312"/>
          <w:kern w:val="0"/>
          <w:szCs w:val="21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="4359" w:hangingChars="2076"/>
        <w:jc w:val="left"/>
        <w:rPr>
          <w:rFonts w:ascii="Times New Roman" w:hAnsi="Times New Roman" w:eastAsia="仿宋_GB2312"/>
          <w:kern w:val="0"/>
          <w:szCs w:val="21"/>
        </w:rPr>
      </w:pPr>
      <w:r>
        <w:rPr>
          <w:rFonts w:ascii="Times New Roman" w:hAnsi="Times New Roman" w:eastAsia="仿宋_GB2312"/>
          <w:kern w:val="0"/>
          <w:szCs w:val="21"/>
        </w:rPr>
        <w:t>填表单位：</w:t>
      </w:r>
      <w:r>
        <w:rPr>
          <w:rFonts w:hint="eastAsia" w:ascii="Times New Roman" w:hAnsi="Times New Roman" w:eastAsia="仿宋_GB2312"/>
          <w:kern w:val="0"/>
          <w:szCs w:val="21"/>
        </w:rPr>
        <w:t xml:space="preserve">台州市文化和广电旅游体育局                                                                          </w:t>
      </w:r>
    </w:p>
    <w:tbl>
      <w:tblPr>
        <w:tblStyle w:val="3"/>
        <w:tblW w:w="14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83"/>
        <w:gridCol w:w="284"/>
        <w:gridCol w:w="570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24"/>
                <w:lang w:bidi="ar-EG"/>
              </w:rPr>
            </w:pP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承办案件数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办结案件数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罚没款总额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  <w:tc>
          <w:tcPr>
            <w:tcW w:w="213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行政处罚情况(件)</w:t>
            </w:r>
          </w:p>
        </w:tc>
        <w:tc>
          <w:tcPr>
            <w:tcW w:w="2641" w:type="dxa"/>
            <w:gridSpan w:val="10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重大处罚决定备案情况(件)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适用处罚程序情况(件)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处罚执行情况(件)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执法监督情况(件)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行政救济情况(件)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国家赔偿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没收非法财物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暂扣许可证或者执照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吊销许可证或者执照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行政拘留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上报备案</w:t>
            </w:r>
          </w:p>
        </w:tc>
        <w:tc>
          <w:tcPr>
            <w:tcW w:w="275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简易程序</w:t>
            </w:r>
          </w:p>
        </w:tc>
        <w:tc>
          <w:tcPr>
            <w:tcW w:w="2596" w:type="dxa"/>
            <w:gridSpan w:val="11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其中:申请法院强制执行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自行纠正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级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予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撤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销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或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改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决定赔偿数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赔偿金额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0" w:type="dxa"/>
            <w:gridSpan w:val="10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提起行政诉讼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较大数额没收违法所得</w:t>
            </w:r>
          </w:p>
        </w:tc>
        <w:tc>
          <w:tcPr>
            <w:tcW w:w="265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告知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实际适用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撤诉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86262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椒江区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759073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黄岩区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124895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路桥区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90024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临海市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33700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温岭市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61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57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2485758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53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玉环市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30468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天台县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26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86683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仙居县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23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23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117400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23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三门县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4380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</w:tbl>
    <w:p>
      <w:pPr>
        <w:spacing w:line="340" w:lineRule="exact"/>
        <w:ind w:firstLine="240" w:firstLineChars="1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《行政处罚案件统计报表》填报说明：</w:t>
      </w:r>
    </w:p>
    <w:p>
      <w:pPr>
        <w:spacing w:line="340" w:lineRule="exact"/>
        <w:ind w:firstLine="240" w:firstLineChars="1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承办案件数：是指统计年度中所立案的案件总数。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办结案件数：是指统计年度中已经作出行政处罚决定的案件。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罚没款总额：以元为单位，包括没收非法财物的拍（变）卖价款。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行政处罚情况：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）按办结案件实际适用行政处罚种类情况以件统计（以处罚决定书为准）；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）其中没收违法所得、没收非法财物也是按适用该项处罚的案件以件统计（不是财物额）；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）鉴于一个案件可能同时适用两种或两种以上行政处罚种类，故八项处罚情况总和应等于或大于办结案件数。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适用程序情况：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）以办结案件实际适用程序情况统计，适用简易程序案件数+适用一般程序案件数＝办结案件数；</w:t>
      </w:r>
    </w:p>
    <w:p>
      <w:pPr>
        <w:spacing w:line="340" w:lineRule="exact"/>
        <w:ind w:left="424" w:leftChars="145" w:hanging="120" w:hangingChars="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）听证程序适用情况，以当事人实际提出听证申请，启动听证程序统计，并分别按拟作出的行政处罚决定情况计入较大数</w:t>
      </w:r>
    </w:p>
    <w:p>
      <w:pPr>
        <w:spacing w:line="340" w:lineRule="exact"/>
        <w:ind w:left="462" w:leftChars="220" w:firstLine="360" w:firstLineChars="1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额罚款听证、责令停产停业听证、吊销许可证或执照听证、其他听证，四项总和应等于或大于实际适用听证程序数。(拟</w:t>
      </w:r>
    </w:p>
    <w:p>
      <w:pPr>
        <w:spacing w:line="340" w:lineRule="exact"/>
        <w:ind w:left="462" w:leftChars="220" w:firstLine="360" w:firstLineChars="1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做出处罚决定有两项需要听证的,分别计入)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执行情况：执行情况按办结案件实际执行情况统计，四项合计应等于办结案件数。</w:t>
      </w:r>
    </w:p>
    <w:p>
      <w:pPr>
        <w:spacing w:line="340" w:lineRule="exact"/>
        <w:ind w:left="271" w:leftChars="72" w:hanging="120" w:hangingChars="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7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监督改正情况：是指行政执法监督情况，“自行纠正”是指行政机关在办理行政处罚案件过程中发现错误，自行纠正的情况；</w:t>
      </w:r>
    </w:p>
    <w:p>
      <w:pPr>
        <w:spacing w:line="340" w:lineRule="exact"/>
        <w:ind w:left="309" w:leftChars="147" w:firstLine="120" w:firstLineChars="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“上级机关予以撤销或改变”是指行政执法机关在办理行政处罚案件过程中，被监督机关（包括上级主管部门、同级政府、</w:t>
      </w:r>
    </w:p>
    <w:p>
      <w:pPr>
        <w:spacing w:line="340" w:lineRule="exact"/>
        <w:ind w:firstLine="600" w:firstLineChars="2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政府法制机构、纪检监察等）发现错误予以撤销（包括责令重新作出行政处罚决定）或改变的情况（调查、办理中的不计入）。</w:t>
      </w:r>
    </w:p>
    <w:p>
      <w:pPr>
        <w:spacing w:line="340" w:lineRule="exact"/>
        <w:ind w:firstLine="240" w:firstLineChars="1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8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 行政救济情况：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）行政复议：以统计年度实际立案的行政复议案件为准（不予受理的不计入），并根据复议案件审理情况分别计入维持、</w:t>
      </w:r>
    </w:p>
    <w:p>
      <w:pPr>
        <w:spacing w:line="340" w:lineRule="exact"/>
        <w:ind w:left="309" w:leftChars="147" w:firstLine="600" w:firstLineChars="25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变更、撤销、在审理中、撤回申请，五项总和应等于复议申请数。</w:t>
      </w:r>
    </w:p>
    <w:p>
      <w:pPr>
        <w:spacing w:line="34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）行政诉讼：以统计年度实际立案的行政诉讼案件为准（不予受理的不计入），并根据诉讼案件审理情况分别计入维持、</w:t>
      </w:r>
    </w:p>
    <w:p>
      <w:pPr>
        <w:spacing w:line="340" w:lineRule="exact"/>
        <w:ind w:firstLine="1080" w:firstLineChars="450"/>
        <w:rPr>
          <w:rFonts w:hint="eastAsia" w:ascii="仿宋_GB2312" w:hAnsi="仿宋_GB2312" w:eastAsia="仿宋_GB2312" w:cs="仿宋_GB2312"/>
          <w:sz w:val="24"/>
          <w:szCs w:val="24"/>
          <w:lang w:bidi="ar-EG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变更（含责令重作）、撤销、撤诉、审理中，五项总和应等于提起行政诉讼总数。</w:t>
      </w:r>
    </w:p>
    <w:p>
      <w:pPr>
        <w:spacing w:line="200" w:lineRule="exact"/>
        <w:rPr>
          <w:rFonts w:hint="eastAsia" w:ascii="Times New Roman" w:hAnsi="Times New Roman" w:eastAsia="仿宋_GB2312"/>
          <w:sz w:val="32"/>
          <w:szCs w:val="24"/>
          <w:lang w:bidi="ar-EG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14A1"/>
    <w:rsid w:val="47F514A1"/>
    <w:rsid w:val="615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2020-01-19T01:26:00Z</dcterms:created>
  <dc:creator>画个饼饼 </dc:creator>
  <cp:lastModifiedBy>画个饼饼 </cp:lastModifiedBy>
  <dcterms:modified xsi:type="dcterms:W3CDTF">2020-01-19T01:33:11Z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