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32"/>
        </w:rPr>
        <w:t>单位名单</w:t>
      </w:r>
    </w:p>
    <w:p>
      <w:pPr>
        <w:jc w:val="center"/>
        <w:rPr>
          <w:rFonts w:ascii="仿宋" w:hAnsi="仿宋" w:eastAsia="仿宋"/>
          <w:b/>
          <w:sz w:val="44"/>
          <w:szCs w:val="32"/>
        </w:rPr>
      </w:pPr>
    </w:p>
    <w:tbl>
      <w:tblPr>
        <w:tblStyle w:val="2"/>
        <w:tblW w:w="879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465"/>
        <w:gridCol w:w="1465"/>
        <w:gridCol w:w="1465"/>
        <w:gridCol w:w="1465"/>
        <w:gridCol w:w="1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资质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单位证照是否有效并与文物保护工程资质证书有关信息一致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专业人员情况是否符合资质标准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临海一铭古建筑设计有限公司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丙级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浙江卓强建设有限公司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万源生态股份有限公司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C2D5A"/>
    <w:rsid w:val="1D9B36DE"/>
    <w:rsid w:val="663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2020-03-16T01:44:00Z</dcterms:created>
  <dc:creator>画个饼饼 </dc:creator>
  <cp:lastModifiedBy>画个饼饼 </cp:lastModifiedBy>
  <dcterms:modified xsi:type="dcterms:W3CDTF">2020-03-16T01:47:21Z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